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99A51" w14:textId="77777777" w:rsidR="000573CA" w:rsidRDefault="000573CA">
      <w:pPr>
        <w:pStyle w:val="Standard"/>
        <w:spacing w:after="0" w:line="360" w:lineRule="auto"/>
        <w:ind w:left="0" w:right="0" w:firstLine="0"/>
        <w:rPr>
          <w:b/>
        </w:rPr>
      </w:pPr>
    </w:p>
    <w:p w14:paraId="30EA842F" w14:textId="77777777" w:rsidR="00F226E3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ESTUDO TÉCNICO PRELIMINAR</w:t>
      </w:r>
    </w:p>
    <w:p w14:paraId="753F700A" w14:textId="24D09CED" w:rsidR="00F226E3" w:rsidRDefault="00F226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Compras e Serviços</w:t>
      </w:r>
    </w:p>
    <w:p w14:paraId="37F1C54E" w14:textId="6D83D2EB" w:rsidR="000573CA" w:rsidRPr="00F226E3" w:rsidRDefault="00000000">
      <w:pPr>
        <w:spacing w:line="360" w:lineRule="auto"/>
        <w:jc w:val="center"/>
        <w:rPr>
          <w:color w:val="FF0000"/>
        </w:rPr>
      </w:pPr>
      <w:r w:rsidRPr="00F226E3">
        <w:rPr>
          <w:rFonts w:ascii="Times New Roman" w:hAnsi="Times New Roman" w:cs="Times New Roman"/>
          <w:b/>
          <w:color w:val="FF0000"/>
          <w:sz w:val="28"/>
          <w:szCs w:val="28"/>
        </w:rPr>
        <w:t>(modelo)</w:t>
      </w:r>
    </w:p>
    <w:p w14:paraId="512B1DCC" w14:textId="77777777" w:rsidR="000573CA" w:rsidRDefault="00057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FA7D" w14:textId="77777777" w:rsidR="000573CA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1EF09662" w14:textId="77777777" w:rsidR="000573CA" w:rsidRDefault="0000000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documento caracteriza a primeira etapa da fase de planejamento e apresenta os devidos estudos para a contratação de solução que atenderá à necessidade abaixo especificada.</w:t>
      </w:r>
    </w:p>
    <w:p w14:paraId="0EC5E294" w14:textId="77777777" w:rsidR="000573CA" w:rsidRDefault="00000000">
      <w:pPr>
        <w:spacing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58920B5A" w14:textId="77777777" w:rsidR="000573CA" w:rsidRDefault="000573C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CA4F63" w14:textId="77777777" w:rsidR="000573CA" w:rsidRDefault="00000000">
      <w:pPr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1 - DESCRIÇÃO DA NECESSIDADE</w:t>
      </w:r>
    </w:p>
    <w:p w14:paraId="6D54850B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Descrição da necessidade da contratação, considerado o problema a ser resolvido sob a perspectiva do interesse público. (inciso I do § 1° do art. 3º do Decreto Municipal nº 82/2023)</w:t>
      </w:r>
    </w:p>
    <w:p w14:paraId="5E80EF68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Detalhar aqui a necessidade que foi identificada e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ab/>
        <w:t>que originou a demanda de contratação. Quanto mais detalhes acerca da necessidade, melhor para a identificação dos requisitos da futura contratação.</w:t>
      </w:r>
    </w:p>
    <w:p w14:paraId="136D3EBA" w14:textId="77777777" w:rsidR="000573CA" w:rsidRDefault="00057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C2628" w14:textId="77777777" w:rsidR="000573CA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– PREVISÃO NO PLANO DE CONTRATAÇÕES ANUAL</w:t>
      </w:r>
    </w:p>
    <w:p w14:paraId="2A20BC67" w14:textId="77777777" w:rsidR="000573CA" w:rsidRDefault="00000000">
      <w:pPr>
        <w:pStyle w:val="Default"/>
        <w:spacing w:line="360" w:lineRule="auto"/>
        <w:jc w:val="both"/>
      </w:pPr>
      <w:r>
        <w:rPr>
          <w:rFonts w:eastAsia="Times New Roman"/>
          <w:b/>
          <w:bCs/>
          <w:lang w:eastAsia="pt-BR"/>
        </w:rPr>
        <w:t xml:space="preserve">Fundamentação: </w:t>
      </w:r>
      <w:r>
        <w:t xml:space="preserve">Demonstração da previsão da contratação no plano de contratações anual, sempre que elaborado, de modo a indicar o seu alinhamento com o planejamento da Administração; </w:t>
      </w:r>
      <w:r>
        <w:rPr>
          <w:rFonts w:eastAsia="Times New Roman"/>
          <w:lang w:eastAsia="pt-BR"/>
        </w:rPr>
        <w:t>(</w:t>
      </w:r>
      <w:r>
        <w:rPr>
          <w:rFonts w:eastAsia="Times New Roman"/>
        </w:rPr>
        <w:t>§ 1° do art. 2º do Decreto Municipal nº 82/2023</w:t>
      </w:r>
      <w:r>
        <w:rPr>
          <w:rFonts w:eastAsia="Times New Roman"/>
          <w:lang w:eastAsia="pt-BR"/>
        </w:rPr>
        <w:t>)</w:t>
      </w:r>
    </w:p>
    <w:p w14:paraId="44E87629" w14:textId="77777777" w:rsidR="000573CA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Demonstração do alinhamento entre a contratação e o planejamento do órgão ou entidade, identificando a previsão no Plano de Contratações Anual ou, se for o caso, justificando a ausência de previsão; (Art. 12, inciso VII da Lei 14.133/21)</w:t>
      </w:r>
    </w:p>
    <w:p w14:paraId="2509EC52" w14:textId="77777777" w:rsidR="000573CA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Se a Administração possui o Plano de Contratações Anual (PCA), deverá ser informada aqui a previsão da futura contratação no respectivo PCA e o devido alinhamento com o planejamento realizado.</w:t>
      </w:r>
    </w:p>
    <w:p w14:paraId="08BBCF13" w14:textId="77777777" w:rsidR="000573CA" w:rsidRDefault="00057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3B1BE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– REQUISITOS DA CONTRATAÇÃO</w:t>
      </w:r>
    </w:p>
    <w:p w14:paraId="30C69573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Fundamentação: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Descrição dos requisitos necessários e suficientes à escolha da solução. (</w:t>
      </w:r>
      <w:bookmarkStart w:id="0" w:name="_Hlk17210464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inciso II do § 1° do art. 3º do Decreto Municipal nº 82/2023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D6024EF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Descrever os requisitos necessários à contratação com vistas ao atendimento da necessidade especificada. Importante listar todos os requisitos que sejam essenciais, abstendo-se de relacionar requisitos desnecessários e especificações demasiadas, para não frustrar o caráter competitivo da futura licitação.</w:t>
      </w:r>
    </w:p>
    <w:p w14:paraId="7C75BB96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Neste item também a Administração deve buscar listar e examinar os normativos que disciplinam os serviços a serem contratados, de acordo com a sua natureza.</w:t>
      </w:r>
    </w:p>
    <w:p w14:paraId="4BAA76BB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Destacar aqui as práticas de sustentabilidade sob as suas diferentes dimensões (ambiental, social e econômica).</w:t>
      </w:r>
    </w:p>
    <w:p w14:paraId="6599CCE8" w14:textId="77777777" w:rsidR="000573CA" w:rsidRDefault="000573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6CC7A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– ESTIMATIVA DAS QUANTIDADES</w:t>
      </w:r>
    </w:p>
    <w:p w14:paraId="14EF4940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Estimativa das quantidades a serem contratadas, acompanhada das memórias de cálculo e dos documentos que lhe dão suporte, considerando a interdependência com outras contratações, de modo a possibilitar economia de escala (inciso II do § 1° do art. 3º do Decreto Municipal nº 82/2023).</w:t>
      </w:r>
    </w:p>
    <w:p w14:paraId="3AD9E96D" w14:textId="77777777" w:rsidR="000573CA" w:rsidRDefault="00000000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Apresentar as memórias de cálculo que justifiquem as quantidades designadas para cada item da solução pretendida.</w:t>
      </w:r>
    </w:p>
    <w:p w14:paraId="54DCD7E2" w14:textId="77777777" w:rsidR="000573CA" w:rsidRDefault="00000000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Essas quantidades podem ser estimadas (i) em função do consumo anterior (perfil de consumo), (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 da provável utilização, (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 com base nas normas internas do órgão ou que são de observância obrigatória, no que tange aos serviços terceirizados que envolvem mão de obra residente ou (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 com base em outros fundamentos, desde que devidamente justificados nos autos.</w:t>
      </w:r>
    </w:p>
    <w:p w14:paraId="3752D869" w14:textId="77777777" w:rsidR="000573CA" w:rsidRDefault="000573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50FC9" w14:textId="77777777" w:rsidR="000573CA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LEVANTAMENTO DE MERCADO</w:t>
      </w:r>
    </w:p>
    <w:p w14:paraId="747B4B1D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hAnsi="Times New Roman" w:cs="Times New Roman"/>
          <w:sz w:val="24"/>
          <w:szCs w:val="24"/>
        </w:rPr>
        <w:t>Levantamento de mercado, que consiste na análise das alternativas possíveis, e justificativa técnica e econômica da escolha do tipo de solução a contratar.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inciso IV do § 1° do art. 3º do Decreto Municipal nº 82/2023).</w:t>
      </w:r>
    </w:p>
    <w:p w14:paraId="38FD811D" w14:textId="77777777" w:rsidR="000573CA" w:rsidRDefault="000573CA">
      <w:pPr>
        <w:spacing w:line="360" w:lineRule="auto"/>
        <w:jc w:val="both"/>
      </w:pPr>
    </w:p>
    <w:p w14:paraId="704EF4D9" w14:textId="77777777" w:rsidR="000573CA" w:rsidRDefault="0000000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Pesquisar e indicar as diferentes soluções existentes no mercado e que podem atender à necessidade levantada.</w:t>
      </w:r>
    </w:p>
    <w:p w14:paraId="20141555" w14:textId="77777777" w:rsidR="000573CA" w:rsidRDefault="00000000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Solução 1 – Descrição completa e Preço Estimado</w:t>
      </w:r>
    </w:p>
    <w:p w14:paraId="3D8311F4" w14:textId="77777777" w:rsidR="000573CA" w:rsidRDefault="00000000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Solução 2 – Descrição completa e Preço Estimado</w:t>
      </w:r>
    </w:p>
    <w:p w14:paraId="6854A0B2" w14:textId="77777777" w:rsidR="000573CA" w:rsidRDefault="00000000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Solução 3 – Descrição completa e Preço Estimado (se for o caso)</w:t>
      </w:r>
    </w:p>
    <w:p w14:paraId="11A5AB74" w14:textId="77777777" w:rsidR="000573CA" w:rsidRDefault="000573CA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BAF2C01" w14:textId="77777777" w:rsidR="000573CA" w:rsidRDefault="0000000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Fazer uma comparação entre as soluções encontradas no mercado para mostrar, de forma objetiva, qual delas é a mais vantajosa para a Administração sob os aspectos da conveniência, economicidade e eficiência. Nos termos dos Acórdãos TCU 2383/2014 e 214/2020-Plenário,</w:t>
      </w:r>
    </w:p>
    <w:p w14:paraId="2A37D1F2" w14:textId="77777777" w:rsidR="000573CA" w:rsidRDefault="00000000">
      <w:pPr>
        <w:spacing w:line="360" w:lineRule="auto"/>
        <w:ind w:left="2268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A Administração, por ocasião do planejamento de suas contratações, deve identificar, previamente à elaboração das especificações técnicas e à cotação de preços, um conjunto representativo dos diversos modelos existentes no mercado que possam atender completamente suas necessidades, de modo a caracterizar a realização de ampla pesquisa de mercado e evitar o direcionamento do certame para modelo específico pela inserção no edital de características atípicas.</w:t>
      </w:r>
    </w:p>
    <w:p w14:paraId="3A7DF181" w14:textId="77777777" w:rsidR="000573CA" w:rsidRDefault="00000000">
      <w:pPr>
        <w:pStyle w:val="PargrafodaLista"/>
        <w:numPr>
          <w:ilvl w:val="0"/>
          <w:numId w:val="14"/>
        </w:numPr>
        <w:spacing w:line="360" w:lineRule="auto"/>
        <w:jc w:val="both"/>
      </w:pP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A comparação deve considerar os custos e benefícios durante o ciclo de vida do objeto (melhor relação custo-benefício)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– art. 44 da LLCA</w:t>
      </w:r>
    </w:p>
    <w:p w14:paraId="0CA6AB5F" w14:textId="77777777" w:rsidR="000573CA" w:rsidRDefault="0000000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No levantamento de mercado, que consiste na prospecção e análise das alternativas possíveis de soluções, a Administração pode, dentre outras opções:</w:t>
      </w:r>
    </w:p>
    <w:p w14:paraId="71091641" w14:textId="77777777" w:rsidR="000573CA" w:rsidRDefault="00000000">
      <w:pPr>
        <w:pStyle w:val="PargrafodaLista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considerar contratações similares feitas por outros órgãos e entidades, com objetivo de identificar a existência de novas metodologias, tecnologias ou inovações que melhor atendam às necessidades da administração;</w:t>
      </w:r>
    </w:p>
    <w:p w14:paraId="04A7A50B" w14:textId="77777777" w:rsidR="000573CA" w:rsidRDefault="00000000">
      <w:pPr>
        <w:pStyle w:val="PargrafodaLista"/>
        <w:numPr>
          <w:ilvl w:val="1"/>
          <w:numId w:val="14"/>
        </w:numPr>
        <w:spacing w:line="360" w:lineRule="auto"/>
        <w:jc w:val="both"/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realizar, se for o caso, consulta, audiência pública ou diálogo transparente com potenciais contratadas, para coleta de contribuições; e</w:t>
      </w:r>
    </w:p>
    <w:p w14:paraId="2E7339FD" w14:textId="77777777" w:rsidR="000573CA" w:rsidRDefault="00000000">
      <w:pPr>
        <w:pStyle w:val="Textbody"/>
        <w:numPr>
          <w:ilvl w:val="1"/>
          <w:numId w:val="14"/>
        </w:numPr>
        <w:spacing w:after="119" w:line="240" w:lineRule="auto"/>
        <w:rPr>
          <w:rFonts w:ascii="Times New Roman" w:hAnsi="Times New Roman" w:cs="Times New Roman"/>
          <w:i/>
          <w:iCs/>
          <w:color w:val="FF0000"/>
          <w:szCs w:val="24"/>
        </w:rPr>
      </w:pPr>
      <w:r>
        <w:rPr>
          <w:rFonts w:ascii="Times New Roman" w:hAnsi="Times New Roman" w:cs="Times New Roman"/>
          <w:i/>
          <w:iCs/>
          <w:color w:val="FF0000"/>
          <w:szCs w:val="24"/>
        </w:rPr>
        <w:t>ser consideradas outras opções logísticas menos onerosas à Administração, tais como chamamentos públicos de doação e permutas.</w:t>
      </w:r>
    </w:p>
    <w:p w14:paraId="15847215" w14:textId="77777777" w:rsidR="000573CA" w:rsidRDefault="0000000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Ainda no levantamento de mercado, a Administração deverá analisar a contratação anterior, ou a série histórica, se houver, para identificar as inconsistências ocorridas nas fases do Planejamento da Contratação, Seleção do Fornecedor e Gestão do Contrato, com a finalidade de prevenir a ocorrência dessas nos ulteriores Termos de Referência ou Projetos Básicos.</w:t>
      </w:r>
    </w:p>
    <w:p w14:paraId="15195AEF" w14:textId="77777777" w:rsidR="000573CA" w:rsidRDefault="00057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24B5C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– ESTIMATIVA DO PREÇO DA CONTRATAÇÃO</w:t>
      </w:r>
    </w:p>
    <w:p w14:paraId="20D1B54E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 (inciso V do § 1° do art. 3º do Decreto Municipal nº 82/2023).</w:t>
      </w:r>
    </w:p>
    <w:p w14:paraId="2825439C" w14:textId="77777777" w:rsidR="000573CA" w:rsidRDefault="00000000">
      <w:pPr>
        <w:spacing w:line="360" w:lineRule="auto"/>
        <w:jc w:val="both"/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lastRenderedPageBreak/>
        <w:t>Estimativa preliminar do preço para a futura contratação, podendo ser realizada com base nos parâmetros do art. 72 e seguintes do Decreto Municipal nº 82/2023. Essa estimativa de preços preliminar visa à escolha da melhor solução para a contratação e à análise de sua viabilidade. O orçamento estimativo final para a contratação deverá compor o Termo de Referência ou o Projeto Básico.</w:t>
      </w:r>
    </w:p>
    <w:p w14:paraId="389F7C15" w14:textId="77777777" w:rsidR="000573CA" w:rsidRDefault="00057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8053F" w14:textId="77777777" w:rsidR="000573CA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7 - DESCRIÇÃO DA SOLUÇÃO COMO UM TODO</w:t>
      </w:r>
    </w:p>
    <w:p w14:paraId="069E3701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Descrição da solução como um todo, inclusive das exigências relacionadas à manutenção e à assistência técnica, quando for o caso. (inciso VI do § 1° do art. 3º do Decreto Municipal nº 82/2023).</w:t>
      </w:r>
    </w:p>
    <w:p w14:paraId="7EB0D12A" w14:textId="77777777" w:rsidR="000573CA" w:rsidRDefault="00000000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Após conclusão do estudo comparativo entre as soluções, descrever aqui a solução que se mostrou mais vantajosa para a contratação. Lembrando que essa solução deverá ser caracterizada detalhadamente no Termo de Referência ou Projeto Básico.</w:t>
      </w:r>
    </w:p>
    <w:p w14:paraId="6055341D" w14:textId="77777777" w:rsidR="000573CA" w:rsidRDefault="000573C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BD201D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– JUSTIFICATIVA PARA PARCELAMENTO</w:t>
      </w:r>
    </w:p>
    <w:p w14:paraId="5585E1BC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Justificativas para o parcelamento ou não da solução. (inciso VII do § 1° do art. 3º do Decreto Municipal nº 82/2023).</w:t>
      </w:r>
    </w:p>
    <w:p w14:paraId="0C31C40A" w14:textId="77777777" w:rsidR="000573CA" w:rsidRDefault="00000000">
      <w:pPr>
        <w:spacing w:line="360" w:lineRule="auto"/>
        <w:jc w:val="both"/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Deve ser identificado se o objeto é composto por itens divisíveis ou não, de acordo com suas características técnicas e peculiaridades de comercialização no mercado. Importante informação para decisão acerca do critério de adjudicação do objeto (por item, por grupos ou global).</w:t>
      </w:r>
    </w:p>
    <w:p w14:paraId="6C3A65D5" w14:textId="77777777" w:rsidR="000573CA" w:rsidRDefault="000573C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61910C" w14:textId="77777777" w:rsidR="000573CA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9 - DEMONSTRATIVO DOS RESULTADOS PRETENDIDOS</w:t>
      </w:r>
    </w:p>
    <w:p w14:paraId="150625CB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hAnsi="Times New Roman" w:cs="Times New Roman"/>
          <w:sz w:val="24"/>
          <w:szCs w:val="24"/>
        </w:rPr>
        <w:t>Demonstrativo dos resultados pretendidos em termos de economicidade e de melhor aproveitamento dos recursos humanos, materiais e financeiros disponíveis;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inciso VIII do § 1° do art. 3º do Decreto Municipal nº 82/2023), bem como em termos de efetividade e de desenvolvimento nacional sustentável</w:t>
      </w:r>
    </w:p>
    <w:p w14:paraId="27E4AB93" w14:textId="77777777" w:rsidR="000573CA" w:rsidRDefault="00000000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Ao considerar que as contratações públicas devem buscar resultados positivos para a Administração, devem ser apontados os resultados pretendidos, de forma a subsidiar a criação dos indicadores de desempenho que serão utilizados no Acordo de Níveis de Serviço ou Instrumento de Medição de Resultados, se for o caso.</w:t>
      </w:r>
    </w:p>
    <w:p w14:paraId="0A96DD2E" w14:textId="77777777" w:rsidR="000573CA" w:rsidRDefault="000573C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AFD8B8" w14:textId="77777777" w:rsidR="000573CA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– PROVIDÊNCIAS PRÉVIAS AO CONTRATO</w:t>
      </w:r>
    </w:p>
    <w:p w14:paraId="6D19EEB9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Providências a serem adotadas pela administração previamente à celebração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 contrato, inclusive quanto à capacitação de servidores ou de empregados para fiscalização e gestão contratual ou adequação do ambiente da organização; (inciso IX do § 1° do art. 3º do Decreto Municipal nº 82/2023).</w:t>
      </w:r>
    </w:p>
    <w:p w14:paraId="16E80DEB" w14:textId="77777777" w:rsidR="000573CA" w:rsidRDefault="00000000">
      <w:pPr>
        <w:spacing w:after="240"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Verificar e informar que ações deverão ser executadas pela Administração antes da formalização da futura contratação, com vistas à correta execução contratual. (exemplos: Pequenas intervenções de engenharia, ajustes de sistemas, capacitação de servidores, licenciamentos, conforme o caso.  </w:t>
      </w:r>
    </w:p>
    <w:p w14:paraId="5F6ABAA0" w14:textId="77777777" w:rsidR="000573CA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– CONTRATAÇÕES CORRELATAS/INTERDEPENDENTES</w:t>
      </w:r>
    </w:p>
    <w:p w14:paraId="1C866631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Contratações correlatas e/ou interdependentes. (inciso X do § 1° do art. 3º do Decreto Municipal nº 82/2023).</w:t>
      </w:r>
    </w:p>
    <w:p w14:paraId="6B0B2603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Com vistas a identificar se existem em andamento contratações correlatas ou interdependentes que venham a interferir ou merecer maiores cuidados no planejamento da futura contratação, inclusive com relação ao cronograma de execução dos serviços, lembrando do disposto no art. 115, §1º, da Lei nº 14.133/2021 (“É proibido à Administração retardar imotivadamente a execução de obra ou serviço, ou de suas parcelas, inclusive na hipótese de posse do respectivo chefe do Poder Executivo ou de novo titular no órgão ou entidade contratante.”).</w:t>
      </w:r>
    </w:p>
    <w:p w14:paraId="25BE347B" w14:textId="77777777" w:rsidR="000573CA" w:rsidRDefault="000573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F02209" w14:textId="77777777" w:rsidR="000573CA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– IMPACTOS AMBIENTAIS</w:t>
      </w:r>
    </w:p>
    <w:p w14:paraId="73567474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hAnsi="Times New Roman" w:cs="Times New Roman"/>
          <w:sz w:val="24"/>
          <w:szCs w:val="24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inciso XII do § 1° do art. 18 da Lei 14.133/21)</w:t>
      </w:r>
    </w:p>
    <w:p w14:paraId="56BE8764" w14:textId="77777777" w:rsidR="000573CA" w:rsidRDefault="00000000">
      <w:pPr>
        <w:pStyle w:val="Default"/>
        <w:spacing w:line="360" w:lineRule="auto"/>
        <w:jc w:val="both"/>
      </w:pPr>
      <w:r>
        <w:rPr>
          <w:rFonts w:eastAsia="Times New Roman"/>
          <w:i/>
          <w:iCs/>
          <w:color w:val="FF0000"/>
          <w:lang w:eastAsia="pt-BR"/>
        </w:rPr>
        <w:t xml:space="preserve">Sob a ótica da dimensão ambiental da sustentabilidade, deverão ser identificados possíveis impactos em decorrência da contratação pretendida e relacionadas as medidas mitigadoras (ações de prevenção e contingência para afastar/tratar os riscos).  </w:t>
      </w:r>
    </w:p>
    <w:p w14:paraId="665CEDE7" w14:textId="77777777" w:rsidR="000573CA" w:rsidRDefault="00000000">
      <w:pPr>
        <w:shd w:val="clear" w:color="auto" w:fill="FFFFFF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 – VIABILIDADE DA CONTRATAÇÃO</w:t>
      </w:r>
    </w:p>
    <w:p w14:paraId="161FAA4F" w14:textId="77777777" w:rsidR="000573CA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Fundamentação: </w:t>
      </w:r>
      <w:r>
        <w:rPr>
          <w:rFonts w:ascii="Times New Roman" w:hAnsi="Times New Roman" w:cs="Times New Roman"/>
          <w:sz w:val="24"/>
          <w:szCs w:val="24"/>
        </w:rPr>
        <w:t>Posicionamento conclusivo sobre a adequação da contratação para o atendimento da necessidade a que se destina.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(inciso XI do § 1° do art. 3º do Decreto Municipal nº 82/2023)</w:t>
      </w:r>
    </w:p>
    <w:p w14:paraId="57D5680C" w14:textId="77777777" w:rsidR="000573CA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Posicionamento conclusivo sobre a viabilidade e razoabilidade da contratação. </w:t>
      </w:r>
    </w:p>
    <w:p w14:paraId="31057BE9" w14:textId="77777777" w:rsidR="000573C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Parecer final sobre a contratação da solução pretendida, indicando a viabilidade técnica, operacional e orçamentária, assim como a adequação à necessidade identificada na demanda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lastRenderedPageBreak/>
        <w:t>de contratação.</w:t>
      </w:r>
    </w:p>
    <w:p w14:paraId="3A6F7489" w14:textId="77777777" w:rsidR="000573CA" w:rsidRDefault="000573CA">
      <w:pPr>
        <w:spacing w:line="360" w:lineRule="auto"/>
        <w:jc w:val="both"/>
        <w:rPr>
          <w:rFonts w:cs="Arial"/>
          <w:b/>
          <w:bCs/>
          <w:lang w:eastAsia="en-US"/>
        </w:rPr>
      </w:pPr>
    </w:p>
    <w:p w14:paraId="60D66BE8" w14:textId="77777777" w:rsidR="000573CA" w:rsidRDefault="00000000">
      <w:pPr>
        <w:shd w:val="clear" w:color="auto" w:fill="FFFFFF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 RESPONSÁVEIS</w:t>
      </w:r>
    </w:p>
    <w:p w14:paraId="1CF68FB4" w14:textId="77777777" w:rsidR="000573CA" w:rsidRDefault="00000000">
      <w:pPr>
        <w:shd w:val="clear" w:color="auto" w:fill="FFFFFF"/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Inserir campos com nome e cargo de cada integrante da equipe de planejamento, responsáveis pelo desenvolvimento do ETP.</w:t>
      </w:r>
    </w:p>
    <w:p w14:paraId="39F3BFDD" w14:textId="77777777" w:rsidR="000573CA" w:rsidRDefault="000573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p w14:paraId="57144219" w14:textId="77777777" w:rsidR="000573CA" w:rsidRDefault="00000000">
      <w:pPr>
        <w:shd w:val="clear" w:color="auto" w:fill="FFFFFF"/>
        <w:spacing w:line="360" w:lineRule="auto"/>
        <w:jc w:val="both"/>
      </w:pPr>
      <w:r>
        <w:rPr>
          <w:bCs/>
        </w:rPr>
        <w:t>Ao final da elaboração dos Estudos Preliminares, a Administração deve avaliar a necessidade de classificá-los nos termos da Lei nº 12.527, de 18 de novembro de 2011.</w:t>
      </w:r>
    </w:p>
    <w:p w14:paraId="3F38977E" w14:textId="77777777" w:rsidR="000573CA" w:rsidRDefault="000573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79189184" w14:textId="77777777" w:rsidR="000573CA" w:rsidRDefault="000573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</w:pPr>
    </w:p>
    <w:sectPr w:rsidR="000573C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C1B12" w14:textId="77777777" w:rsidR="009E7264" w:rsidRDefault="009E7264">
      <w:r>
        <w:separator/>
      </w:r>
    </w:p>
  </w:endnote>
  <w:endnote w:type="continuationSeparator" w:id="0">
    <w:p w14:paraId="70B5D3CB" w14:textId="77777777" w:rsidR="009E7264" w:rsidRDefault="009E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8EDDE" w14:textId="77777777" w:rsidR="009E7264" w:rsidRDefault="009E7264">
      <w:r>
        <w:rPr>
          <w:color w:val="000000"/>
        </w:rPr>
        <w:separator/>
      </w:r>
    </w:p>
  </w:footnote>
  <w:footnote w:type="continuationSeparator" w:id="0">
    <w:p w14:paraId="4D4C46CA" w14:textId="77777777" w:rsidR="009E7264" w:rsidRDefault="009E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0165"/>
    <w:multiLevelType w:val="multilevel"/>
    <w:tmpl w:val="4350C2A2"/>
    <w:styleLink w:val="WWNum8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13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5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7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9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1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3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5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7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1" w15:restartNumberingAfterBreak="0">
    <w:nsid w:val="0F847776"/>
    <w:multiLevelType w:val="multilevel"/>
    <w:tmpl w:val="66C61FC4"/>
    <w:styleLink w:val="WWNum7"/>
    <w:lvl w:ilvl="0">
      <w:numFmt w:val="bullet"/>
      <w:lvlText w:val="-"/>
      <w:lvlJc w:val="left"/>
      <w:pPr>
        <w:ind w:left="12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9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1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42237F9"/>
    <w:multiLevelType w:val="multilevel"/>
    <w:tmpl w:val="00B47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i/>
        <w:iCs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1839"/>
    <w:multiLevelType w:val="multilevel"/>
    <w:tmpl w:val="D6786F7A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3150F1"/>
    <w:multiLevelType w:val="multilevel"/>
    <w:tmpl w:val="FC38AC32"/>
    <w:styleLink w:val="WWNum5"/>
    <w:lvl w:ilvl="0">
      <w:numFmt w:val="bullet"/>
      <w:lvlText w:val="-"/>
      <w:lvlJc w:val="left"/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9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1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567B02D2"/>
    <w:multiLevelType w:val="multilevel"/>
    <w:tmpl w:val="DFB8414A"/>
    <w:styleLink w:val="WWNum6"/>
    <w:lvl w:ilvl="0">
      <w:numFmt w:val="bullet"/>
      <w:lvlText w:val="-"/>
      <w:lvlJc w:val="left"/>
      <w:pPr>
        <w:ind w:left="12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9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1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5A64018D"/>
    <w:multiLevelType w:val="multilevel"/>
    <w:tmpl w:val="7B1C840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CB77D8"/>
    <w:multiLevelType w:val="multilevel"/>
    <w:tmpl w:val="B174522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B342350"/>
    <w:multiLevelType w:val="multilevel"/>
    <w:tmpl w:val="F5E87FB6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9" w15:restartNumberingAfterBreak="0">
    <w:nsid w:val="5FC849C0"/>
    <w:multiLevelType w:val="multilevel"/>
    <w:tmpl w:val="29E48238"/>
    <w:styleLink w:val="WWNum3"/>
    <w:lvl w:ilvl="0">
      <w:start w:val="2"/>
      <w:numFmt w:val="lowerLetter"/>
      <w:lvlText w:val="%1"/>
      <w:lvlJc w:val="left"/>
      <w:pPr>
        <w:ind w:left="21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324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39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468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540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612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684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75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828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62077153"/>
    <w:multiLevelType w:val="multilevel"/>
    <w:tmpl w:val="762C00FC"/>
    <w:styleLink w:val="WWNum1"/>
    <w:lvl w:ilvl="0">
      <w:start w:val="1"/>
      <w:numFmt w:val="upperRoman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66440E99"/>
    <w:multiLevelType w:val="multilevel"/>
    <w:tmpl w:val="812CF39E"/>
    <w:styleLink w:val="WWNum4"/>
    <w:lvl w:ilvl="0">
      <w:start w:val="1"/>
      <w:numFmt w:val="lowerLetter"/>
      <w:lvlText w:val="%1"/>
      <w:lvlJc w:val="left"/>
      <w:pPr>
        <w:ind w:left="38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468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540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612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684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75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828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900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972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6CCA416A"/>
    <w:multiLevelType w:val="multilevel"/>
    <w:tmpl w:val="91F4A5C8"/>
    <w:styleLink w:val="LFO15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cs="Times New Roman"/>
        <w:b/>
        <w:bCs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072" w:hanging="363"/>
      </w:pPr>
      <w:rPr>
        <w:rFonts w:cs="Times New Roman"/>
        <w:b/>
        <w:bCs/>
        <w:strike w:val="0"/>
        <w:dstrike w:val="0"/>
        <w:color w:val="auto"/>
      </w:rPr>
    </w:lvl>
    <w:lvl w:ilvl="2">
      <w:start w:val="1"/>
      <w:numFmt w:val="decimal"/>
      <w:suff w:val="space"/>
      <w:lvlText w:val=" %1.%2.%3."/>
      <w:lvlJc w:val="left"/>
      <w:pPr>
        <w:ind w:left="1440" w:hanging="360"/>
      </w:pPr>
      <w:rPr>
        <w:rFonts w:cs="Times New Roman"/>
        <w:b/>
        <w:bCs/>
      </w:rPr>
    </w:lvl>
    <w:lvl w:ilvl="3">
      <w:start w:val="1"/>
      <w:numFmt w:val="decimal"/>
      <w:suff w:val="space"/>
      <w:lvlText w:val=" %1.%2.%3.%4."/>
      <w:lvlJc w:val="left"/>
      <w:pPr>
        <w:ind w:left="1920" w:hanging="360"/>
      </w:pPr>
      <w:rPr>
        <w:rFonts w:cs="Times New Roman"/>
        <w:sz w:val="24"/>
        <w:szCs w:val="24"/>
      </w:rPr>
    </w:lvl>
    <w:lvl w:ilvl="4">
      <w:start w:val="1"/>
      <w:numFmt w:val="decimal"/>
      <w:suff w:val="space"/>
      <w:lvlText w:val=" 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 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 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 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 %1.%2.%3.%4.%5.%6.%7.%8.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7B234D85"/>
    <w:multiLevelType w:val="multilevel"/>
    <w:tmpl w:val="5CCC7AC0"/>
    <w:styleLink w:val="WWNum2"/>
    <w:lvl w:ilvl="0">
      <w:start w:val="1"/>
      <w:numFmt w:val="upperRoman"/>
      <w:lvlText w:val="%1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 w16cid:durableId="551573105">
    <w:abstractNumId w:val="7"/>
  </w:num>
  <w:num w:numId="2" w16cid:durableId="69275678">
    <w:abstractNumId w:val="10"/>
  </w:num>
  <w:num w:numId="3" w16cid:durableId="1526140797">
    <w:abstractNumId w:val="13"/>
  </w:num>
  <w:num w:numId="4" w16cid:durableId="419180209">
    <w:abstractNumId w:val="9"/>
  </w:num>
  <w:num w:numId="5" w16cid:durableId="1566257517">
    <w:abstractNumId w:val="11"/>
  </w:num>
  <w:num w:numId="6" w16cid:durableId="916598265">
    <w:abstractNumId w:val="4"/>
  </w:num>
  <w:num w:numId="7" w16cid:durableId="42215259">
    <w:abstractNumId w:val="5"/>
  </w:num>
  <w:num w:numId="8" w16cid:durableId="293609673">
    <w:abstractNumId w:val="1"/>
  </w:num>
  <w:num w:numId="9" w16cid:durableId="860973068">
    <w:abstractNumId w:val="0"/>
  </w:num>
  <w:num w:numId="10" w16cid:durableId="18704306">
    <w:abstractNumId w:val="8"/>
  </w:num>
  <w:num w:numId="11" w16cid:durableId="2065136376">
    <w:abstractNumId w:val="6"/>
  </w:num>
  <w:num w:numId="12" w16cid:durableId="368336354">
    <w:abstractNumId w:val="3"/>
  </w:num>
  <w:num w:numId="13" w16cid:durableId="1221937238">
    <w:abstractNumId w:val="12"/>
  </w:num>
  <w:num w:numId="14" w16cid:durableId="30200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7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73CA"/>
    <w:rsid w:val="000573CA"/>
    <w:rsid w:val="00600ED7"/>
    <w:rsid w:val="00756E01"/>
    <w:rsid w:val="009E7264"/>
    <w:rsid w:val="00F2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2FA9"/>
  <w15:docId w15:val="{636BB21C-B028-4662-9EC0-0056201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Standard"/>
    <w:uiPriority w:val="9"/>
    <w:qFormat/>
    <w:pPr>
      <w:keepNext/>
      <w:keepLines/>
      <w:widowControl/>
      <w:suppressAutoHyphens/>
      <w:spacing w:after="543" w:line="360" w:lineRule="auto"/>
      <w:ind w:left="32" w:right="88" w:hanging="10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Ttulo2">
    <w:name w:val="heading 2"/>
    <w:next w:val="Standard"/>
    <w:uiPriority w:val="9"/>
    <w:semiHidden/>
    <w:unhideWhenUsed/>
    <w:qFormat/>
    <w:pPr>
      <w:keepNext/>
      <w:keepLines/>
      <w:widowControl/>
      <w:suppressAutoHyphens/>
      <w:spacing w:after="543" w:line="360" w:lineRule="auto"/>
      <w:ind w:left="32" w:right="88" w:hanging="10"/>
      <w:outlineLvl w:val="1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62" w:line="348" w:lineRule="auto"/>
      <w:ind w:left="10" w:right="16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description">
    <w:name w:val="footnote description"/>
    <w:next w:val="Standard"/>
    <w:pPr>
      <w:widowControl/>
      <w:suppressAutoHyphens/>
      <w:ind w:left="170" w:right="9" w:hanging="170"/>
      <w:jc w:val="both"/>
    </w:pPr>
    <w:rPr>
      <w:rFonts w:ascii="Liberation Serif" w:eastAsia="Liberation Serif" w:hAnsi="Liberation Serif" w:cs="Liberation Serif"/>
      <w:color w:val="000000"/>
      <w:sz w:val="16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29"/>
        <w:tab w:val="right" w:pos="964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Cabealho"/>
    <w:pPr>
      <w:numPr>
        <w:numId w:val="13"/>
      </w:numPr>
      <w:tabs>
        <w:tab w:val="clear" w:pos="4252"/>
        <w:tab w:val="clear" w:pos="8504"/>
        <w:tab w:val="left" w:pos="-3600"/>
      </w:tabs>
      <w:spacing w:before="360" w:after="120" w:line="100" w:lineRule="atLeast"/>
      <w:jc w:val="both"/>
      <w:textAlignment w:val="auto"/>
    </w:pPr>
    <w:rPr>
      <w:rFonts w:ascii="Times New Roman" w:eastAsia="SimSun" w:hAnsi="Times New Roman" w:cs="Times New Roman"/>
      <w:b/>
      <w:bCs/>
      <w:kern w:val="3"/>
      <w:sz w:val="24"/>
      <w:szCs w:val="24"/>
      <w:lang w:eastAsia="zh-CN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footnotedescriptionChar">
    <w:name w:val="footnote description Char"/>
    <w:rPr>
      <w:rFonts w:ascii="Liberation Serif" w:eastAsia="Liberation Serif" w:hAnsi="Liberation Serif" w:cs="Liberation Serif"/>
      <w:color w:val="000000"/>
      <w:sz w:val="16"/>
    </w:rPr>
  </w:style>
  <w:style w:type="character" w:customStyle="1" w:styleId="Ttulo2Char">
    <w:name w:val="Título 2 Char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footnotemark">
    <w:name w:val="footnote mark"/>
    <w:rPr>
      <w:rFonts w:ascii="Liberation Serif" w:eastAsia="Liberation Serif" w:hAnsi="Liberation Serif" w:cs="Liberation Serif"/>
      <w:color w:val="000000"/>
      <w:position w:val="0"/>
      <w:sz w:val="16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">
    <w:name w:val="ListLabel 1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0">
    <w:name w:val="ListLabel 2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1">
    <w:name w:val="ListLabel 2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2">
    <w:name w:val="ListLabel 22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3">
    <w:name w:val="ListLabel 2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4">
    <w:name w:val="ListLabel 2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5">
    <w:name w:val="ListLabel 2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6">
    <w:name w:val="ListLabel 2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7">
    <w:name w:val="ListLabel 27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8">
    <w:name w:val="ListLabel 28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9">
    <w:name w:val="ListLabel 2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0">
    <w:name w:val="ListLabel 3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1">
    <w:name w:val="ListLabel 3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2">
    <w:name w:val="ListLabel 32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3">
    <w:name w:val="ListLabel 3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4">
    <w:name w:val="ListLabel 3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5">
    <w:name w:val="ListLabel 3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6">
    <w:name w:val="ListLabel 3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7">
    <w:name w:val="ListLabel 3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8">
    <w:name w:val="ListLabel 3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9">
    <w:name w:val="ListLabel 3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0">
    <w:name w:val="ListLabel 4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1">
    <w:name w:val="ListLabel 4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2">
    <w:name w:val="ListLabel 4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3">
    <w:name w:val="ListLabel 4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4">
    <w:name w:val="ListLabel 44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5">
    <w:name w:val="ListLabel 45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6">
    <w:name w:val="ListLabel 46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7">
    <w:name w:val="ListLabel 4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8">
    <w:name w:val="ListLabel 4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9">
    <w:name w:val="ListLabel 4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0">
    <w:name w:val="ListLabel 5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1">
    <w:name w:val="ListLabel 5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2">
    <w:name w:val="ListLabel 5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3">
    <w:name w:val="ListLabel 5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4">
    <w:name w:val="ListLabel 54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5">
    <w:name w:val="ListLabel 55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6">
    <w:name w:val="ListLabel 56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7">
    <w:name w:val="ListLabel 5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8">
    <w:name w:val="ListLabel 5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9">
    <w:name w:val="ListLabel 5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0">
    <w:name w:val="ListLabel 6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1">
    <w:name w:val="ListLabel 6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2">
    <w:name w:val="ListLabel 6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3">
    <w:name w:val="ListLabel 6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4">
    <w:name w:val="ListLabel 64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5">
    <w:name w:val="ListLabel 65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6">
    <w:name w:val="ListLabel 66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7">
    <w:name w:val="ListLabel 67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8">
    <w:name w:val="ListLabel 68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9">
    <w:name w:val="ListLabel 69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0">
    <w:name w:val="ListLabel 70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1">
    <w:name w:val="ListLabel 71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2">
    <w:name w:val="ListLabel 72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3">
    <w:name w:val="ListLabel 7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4">
    <w:name w:val="ListLabel 7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5">
    <w:name w:val="ListLabel 7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6">
    <w:name w:val="ListLabel 7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7">
    <w:name w:val="ListLabel 77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8">
    <w:name w:val="ListLabel 78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9">
    <w:name w:val="ListLabel 7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0">
    <w:name w:val="ListLabel 8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1">
    <w:name w:val="ListLabel 8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7Char">
    <w:name w:val="Título 7 Char"/>
    <w:basedOn w:val="Fontepargpadro"/>
    <w:rPr>
      <w:rFonts w:ascii="Calibri Light" w:eastAsia="Times New Roman" w:hAnsi="Calibri Light" w:cs="Times New Roman"/>
      <w:i/>
      <w:iCs/>
      <w:color w:val="1F3763"/>
    </w:rPr>
  </w:style>
  <w:style w:type="character" w:customStyle="1" w:styleId="go">
    <w:name w:val="go"/>
    <w:basedOn w:val="Fontepargpadro"/>
  </w:style>
  <w:style w:type="character" w:styleId="Forte">
    <w:name w:val="Strong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22">
    <w:name w:val="WWNum22"/>
    <w:basedOn w:val="Semlista"/>
    <w:pPr>
      <w:numPr>
        <w:numId w:val="11"/>
      </w:numPr>
    </w:pPr>
  </w:style>
  <w:style w:type="numbering" w:customStyle="1" w:styleId="WWNum24">
    <w:name w:val="WWNum24"/>
    <w:basedOn w:val="Semlista"/>
    <w:pPr>
      <w:numPr>
        <w:numId w:val="12"/>
      </w:numPr>
    </w:pPr>
  </w:style>
  <w:style w:type="numbering" w:customStyle="1" w:styleId="LFO15">
    <w:name w:val="LFO15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8997</Characters>
  <Application>Microsoft Office Word</Application>
  <DocSecurity>0</DocSecurity>
  <Lines>74</Lines>
  <Paragraphs>21</Paragraphs>
  <ScaleCrop>false</ScaleCrop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Marcos Venicius Wyatt</cp:lastModifiedBy>
  <cp:revision>2</cp:revision>
  <dcterms:created xsi:type="dcterms:W3CDTF">2024-07-17T15:00:00Z</dcterms:created>
  <dcterms:modified xsi:type="dcterms:W3CDTF">2024-07-17T15:00:00Z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Procuradoria Geral da República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</Properties>
</file>