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4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200" w:line="24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ATA DA REUNIÃO DE ALINHAMENTO SOBRE INOVAÇÃO</w:t>
      </w:r>
    </w:p>
    <w:p w:rsidR="00000000" w:rsidDel="00000000" w:rsidP="00000000" w:rsidRDefault="00000000" w:rsidRPr="00000000" w14:paraId="00000003">
      <w:pPr>
        <w:shd w:fill="ffffff" w:val="clear"/>
        <w:spacing w:after="200" w:before="20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00"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Data: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13 de março de 2025</w:t>
      </w:r>
    </w:p>
    <w:p w:rsidR="00000000" w:rsidDel="00000000" w:rsidP="00000000" w:rsidRDefault="00000000" w:rsidRPr="00000000" w14:paraId="00000005">
      <w:pPr>
        <w:spacing w:after="200" w:before="200" w:lin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Local: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Sala de reunião da Sec. Finanças no Palácio da Prefeitura de Cariacica</w:t>
      </w:r>
    </w:p>
    <w:p w:rsidR="00000000" w:rsidDel="00000000" w:rsidP="00000000" w:rsidRDefault="00000000" w:rsidRPr="00000000" w14:paraId="00000006">
      <w:pPr>
        <w:spacing w:after="200" w:before="200" w:line="24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00" w:line="24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Pauta: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Apresentação de demandas;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Mosaico da Inovação e Consultoria;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Parcerias e Planejamento. </w:t>
      </w:r>
    </w:p>
    <w:p w:rsidR="00000000" w:rsidDel="00000000" w:rsidP="00000000" w:rsidRDefault="00000000" w:rsidRPr="00000000" w14:paraId="0000000B">
      <w:pPr>
        <w:spacing w:after="200" w:before="200" w:line="24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00" w:before="20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Abertura e Introdução:</w:t>
      </w:r>
    </w:p>
    <w:p w:rsidR="00000000" w:rsidDel="00000000" w:rsidP="00000000" w:rsidRDefault="00000000" w:rsidRPr="00000000" w14:paraId="0000000D">
      <w:pPr>
        <w:shd w:fill="ffffff" w:val="clear"/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reunião teve início com a apresentação e atualização dos membros presentes.</w:t>
      </w:r>
    </w:p>
    <w:p w:rsidR="00000000" w:rsidDel="00000000" w:rsidP="00000000" w:rsidRDefault="00000000" w:rsidRPr="00000000" w14:paraId="0000000E">
      <w:pPr>
        <w:shd w:fill="ffffff" w:val="clear"/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00" w:before="20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Participação em Eventos e Atualização Legislativa: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InovaES: Foi deliberada a participação da Prefeitura no evento InovaES. A presença do município neste evento visa fortalecer a representação do poder público e o alinhamento com as iniciativas de inovação.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Atualização da Legislação: Foi levantado um debate sobre a necessidade urgente de atualizar a legislação existente para dar suporte ao desenvolvimento do ecossistema de inovação local. Esse ponto é considerado crucial para a formalização e o crescimento das iniciativas.</w:t>
      </w:r>
    </w:p>
    <w:p w:rsidR="00000000" w:rsidDel="00000000" w:rsidP="00000000" w:rsidRDefault="00000000" w:rsidRPr="00000000" w14:paraId="00000012">
      <w:pPr>
        <w:shd w:fill="ffffff" w:val="clear"/>
        <w:spacing w:after="200" w:before="20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00" w:before="20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Mosaico da Inovação e Consultoria: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00" w:before="20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Revisão do Mosaico da Inovação: Sugeriu-se a necessidade de revisar o mosaico da inovação, com o objetivo de mapear e atualizar todos os atores e iniciativas relevantes para o ecossistema.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00" w:before="20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Consultoria para a Legislação: O SEBRAE indicou a consultoria de Pedro para auxiliar na formulação da nova legislação. A proposta foi colocada em votação e aprovada por todos os presentes, demonstrando consenso sobre a escolha.</w:t>
      </w:r>
    </w:p>
    <w:p w:rsidR="00000000" w:rsidDel="00000000" w:rsidP="00000000" w:rsidRDefault="00000000" w:rsidRPr="00000000" w14:paraId="00000016">
      <w:pPr>
        <w:spacing w:after="200" w:before="20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after="200" w:before="200" w:line="24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heading=h.ybxx8hcau7d1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after="200" w:before="200" w:line="24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heading=h.f30dpg3qn1vw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Parcerias e Planejamento: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Apoio da FAESA: A Faesa se colocou à disposição para auxiliar na consultoria, oferecendo seu conhecimento e recursos para contribuir com a formulação da nova legislação.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00" w:before="20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PPA (Plano Plurianual): Foi apresentado o PPA, onde a inovação é tratada como um dos temas centrais e prioritários para o plano. Isso reforça o compromisso de longo prazo com o desenvolvimento do ecossistema e abre caminho para futuras ações.</w:t>
      </w:r>
    </w:p>
    <w:p w:rsidR="00000000" w:rsidDel="00000000" w:rsidP="00000000" w:rsidRDefault="00000000" w:rsidRPr="00000000" w14:paraId="0000001B">
      <w:pPr>
        <w:shd w:fill="ffffff" w:val="clear"/>
        <w:spacing w:after="200" w:before="20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Próximos Passos: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after="200" w:before="20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Revisão do mosaico de inovação.</w:t>
      </w:r>
    </w:p>
    <w:p w:rsidR="00000000" w:rsidDel="00000000" w:rsidP="00000000" w:rsidRDefault="00000000" w:rsidRPr="00000000" w14:paraId="0000001E">
      <w:pPr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00" w:before="20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Cariacica em 13 de março de 2025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line="276" w:lineRule="auto"/>
      <w:rPr>
        <w:rFonts w:ascii="Times New Roman" w:cs="Times New Roman" w:eastAsia="Times New Roman" w:hAnsi="Times New Roman"/>
        <w:b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6"/>
        <w:szCs w:val="26"/>
        <w:rtl w:val="0"/>
      </w:rPr>
      <w:t xml:space="preserve">PREFEITURA MUNICIPAL DE CARIACICA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19057</wp:posOffset>
          </wp:positionH>
          <wp:positionV relativeFrom="paragraph">
            <wp:posOffset>19057</wp:posOffset>
          </wp:positionV>
          <wp:extent cx="660797" cy="642938"/>
          <wp:effectExtent b="0" l="0" r="0" t="0"/>
          <wp:wrapSquare wrapText="bothSides" distB="114300" distT="11430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0797" cy="642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spacing w:line="276" w:lineRule="auto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ESTADO DO ESPÍRITO SANTO</w:t>
    </w:r>
  </w:p>
  <w:p w:rsidR="00000000" w:rsidDel="00000000" w:rsidP="00000000" w:rsidRDefault="00000000" w:rsidRPr="00000000" w14:paraId="00000023">
    <w:pPr>
      <w:spacing w:line="276" w:lineRule="auto"/>
      <w:rPr>
        <w:rFonts w:ascii="Times New Roman" w:cs="Times New Roman" w:eastAsia="Times New Roman" w:hAnsi="Times New Roman"/>
        <w:i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i w:val="1"/>
        <w:sz w:val="20"/>
        <w:szCs w:val="20"/>
        <w:rtl w:val="0"/>
      </w:rPr>
      <w:t xml:space="preserve">Gerência de Inovação e Cidades Inteligentes</w:t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qQ4E8+DYIGoXYCVD8kiHy/Sncg==">CgMxLjAyDmgueWJ4eDhoY2F1N2QxMg5oLmYzMGRwZzNxbjF2dzgAciExeUFCVzllNjhSMDBuSkxDbDcwZVkxalJRR3NsakNVcWU=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