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20 de março de 2025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Sala de reunião da Sec. Finanças no Palácio da Prefeitura de Cariacica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de demandas;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Fortalecimento do ecossistema; 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Marco Legal da Inovação e Demandas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reunião teve início com a apresentação e atualização dos membros presentes.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Apresentação de Demandas: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Calendário do ImpactHub: Foi apresentada a demanda para a criação e gestão do Calendário do ImpactHub, com o objetivo de centralizar e divulgar os eventos e atividades relevantes do ecossistema.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Pautas: A fim de otimizar a organização das reuniões futuras, foi proposto e apresentado o Formulário de Pautas, que permitirá aos membros sugerir tópicos de discussão de forma padronizada e prévia.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Propostas de Novas Empresas: O Sicoob mencionou a existência de propostas para a inserção de novas empresas no ecossistema, reforçando a importância de avaliar e integrar novos membros para expandir 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Fortalecimento do Ecossistema: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em Eventos de Inovação: Foi destacada a necessidade de garantir a presença de algum membro do ecossistema em eventos de inovação, visando fortalecer a representatividade do grupo e captar novas oportunidades.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Monitoramento de Agendas: Para assegurar a participação de todos, discutiu-se a criação de um mecanismo de monitoramento das agendas dos membros, facilitando a coordenação e o planejamento de eventos e reuniões.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de Reuniões: Foi definido que a coordenação fará a proposta de uma agenda formal para as próximas reuniões tanto do Comitê quanto da Coordenação.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00" w:before="20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eading=h.ybxx8hcau7d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200" w:before="20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eading=h.f30dpg3qn1v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Marco Legal da Inovação e Demandas Específicas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Consultoria para o Marco Legal: Foi indicada a consultoria do senhor Pedro Teres (Vereador de Vitória e consultor do SEBRAE) como uma solução para o desenvolvimento do marco legal da inovação, devido à sua experiência e atuação na área.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Demandas do IFES: A equipe apresentou as demandas levantadas durante o evento de inovação realizado no IFES, ressaltando a importância de manter a colaboração com instituições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Inclusão de Novas Empresas: Foi proposta a inserção de duas novas empresas no ecossistema: a Marca Ambiental e a Cimec. A inclusão dessas empresas é vista como uma oportunidade de trazer novos conhecimentos e parcerias para 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00" w:before="20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proposta de uma agenda formal para as próximas reuniões tanto do Comitê quanto da Coordenação.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20 de março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19057</wp:posOffset>
          </wp:positionH>
          <wp:positionV relativeFrom="paragraph">
            <wp:posOffset>19057</wp:posOffset>
          </wp:positionV>
          <wp:extent cx="660797" cy="64293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26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jjlTDJyJ6jdwyQ2rkFETGvLWg==">CgMxLjAyDmgueWJ4eDhoY2F1N2QxMg5oLmYzMGRwZzNxbjF2dzgAciExeEZuN0xRQjM4TGwtNTZ3c2YxNVl5WndSNUZsUThBYVI=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