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13 de novembro de 2025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Local: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online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Fagner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Subsecretário Municipal de Governo Digital Inovação e Cidades Inteligentes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Patrícia - Coordenadora de Inovação Aberta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 Souza - Representando o IFES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- Representando  a FINDES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- Representando a FAESA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Bruno - Representando o SICOOB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Poliana - Representando o SEBRAE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- Consultor</w:t>
      </w:r>
    </w:p>
    <w:p w:rsidR="00000000" w:rsidDel="00000000" w:rsidP="00000000" w:rsidRDefault="00000000" w:rsidRPr="00000000" w14:paraId="00000010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03030"/>
          <w:sz w:val="24"/>
          <w:szCs w:val="24"/>
          <w:rtl w:val="0"/>
        </w:rPr>
        <w:t xml:space="preserve">Apresentação do Plano de Ação para Inovação Cariacica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5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deu as boas-vindas e compartilhou, para leitura conjunta, o plano de ação cocriado para o Ecossistema Local de Inovação (ELI) Cariacica, que se baseia em informações de encontros anteriores, materiais de edições passadas e documentos fornecidos pelo SEBRAE.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before="20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b w:val="1"/>
          <w:bCs w:val="1"/>
          <w:color w:val="303030"/>
          <w:sz w:val="24"/>
          <w:szCs w:val="24"/>
          <w:rtl w:val="0"/>
        </w:rPr>
        <w:t xml:space="preserve">Apresentação do Plano de Ação para Inovação Cariacica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informou que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O plano inclui uma declaração de propósito, visão para 2026, prioridades estratégicas, objetivos, indicadores e um portfólio de projetos. O propósito do ELI é fomentar a inovação para fortalecer negócios existentes e criar novos empreendimentos escaláveis e inovadores no município, o que também impacta a formação de recursos humanos e gera desenvolvimento econômico 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Na sequência o consultor esclareceu que a visão para 2026, adotada pelo documento, é de um ecossistema articulado e colaborativo, com marcos legais institucionalizados e iniciativas integradas entre entidades de Cariacica e outras instituições estaduais como a FINDES.</w:t>
      </w:r>
    </w:p>
    <w:p w:rsidR="00000000" w:rsidDel="00000000" w:rsidP="00000000" w:rsidRDefault="00000000" w:rsidRPr="00000000" w14:paraId="0000001A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Com base nas necessidades apresentadas, seis eixos de atuação foram definidos para 2026: fortalecer a governança, engajar e conectar atores, ativar o setor produtivo, fortalecer a identidade do ELI, buscar sustentabilidade por meio de recursos e patrocínios, e implementar o marco legal municipal de inovação.</w:t>
      </w:r>
    </w:p>
    <w:p w:rsidR="00000000" w:rsidDel="00000000" w:rsidP="00000000" w:rsidRDefault="00000000" w:rsidRPr="00000000" w14:paraId="0000001B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sugeriu a criação de um selo (chancela) do ELI para coordenar e divulgar eventos já realizados pelas instituições parceiras, como os do Erivelto Fioresi de Sousa, em vez de o ELI criar novas ações do zero.</w:t>
      </w:r>
    </w:p>
    <w:p w:rsidR="00000000" w:rsidDel="00000000" w:rsidP="00000000" w:rsidRDefault="00000000" w:rsidRPr="00000000" w14:paraId="0000001C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O modelo de governança sugerido por Rodrigo no Plano é mínimo e simplificado, composto por um Conselho Estratégico para tomada de decisões, um Núcleo Operacional (composto por um PMO e Guardiões) e Células de Entrega, que seriam equipes voluntárias de apoio. Os Guardiões seriam responsáveis pelas verticais de Comunidade, Programas Setoriais, Comunicação, Captação de Recursos e Marco Legal de Inovação, com o PMO coordenando os projetos e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sprints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. O Conselho Estratégico se reuniria quatro vezes por ano, enquanto o Núcleo Operacional teria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sprints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 mensais.</w:t>
      </w:r>
    </w:p>
    <w:p w:rsidR="00000000" w:rsidDel="00000000" w:rsidP="00000000" w:rsidRDefault="00000000" w:rsidRPr="00000000" w14:paraId="0000001D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Erivelto Fioresi de Sousa questionou a coerência da proposta de conselho com a minuta do marco legal municipal. E Iomar Cunha expressou preocupação sobre o funcionamento das Células de Entrega, destacando que, se o apoio for apenas voluntário e sem compromissos formais, a efetivação das ações no nível operacional será difícil, sugerindo a busca por uma estrutura remunerada, mesmo que patrocinada.</w:t>
      </w:r>
    </w:p>
    <w:p w:rsidR="00000000" w:rsidDel="00000000" w:rsidP="00000000" w:rsidRDefault="00000000" w:rsidRPr="00000000" w14:paraId="0000001E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Em resposta às preocupações de Iomar, Rodrigo Teixeira sugeriu mobilizar alunos e estudantes como voluntários para as Células de Entrega, citando o exemplo de Minas Gerais, onde há muitos voluntários, e mencionando que a rotatividade é esperada. Em relação ao conselho, Rodrigo apresentou duas opções: integrar o Conselho Estratégico com o Conselho Municipal de Inovação já previsto no projeto de lei do Marco Legal da Inovação ou criar um conselho autônomo para o ELI, permitindo autonomia e velocidade, mas potencialmente exigindo a criação de um CNPJ para captação de recursos. </w:t>
      </w:r>
    </w:p>
    <w:p w:rsidR="00000000" w:rsidDel="00000000" w:rsidP="00000000" w:rsidRDefault="00000000" w:rsidRPr="00000000" w14:paraId="0000001F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Erivelto e Ellen Scopel Cometti reconheceram que o modelo de conselho autônomo com CNPJ facilitaria a captação de recursos para remunerar as equipes de entrega.</w:t>
      </w:r>
    </w:p>
    <w:p w:rsidR="00000000" w:rsidDel="00000000" w:rsidP="00000000" w:rsidRDefault="00000000" w:rsidRPr="00000000" w14:paraId="00000020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Ellen ainda manifestou concordância com Iomar sobre a dificuldade de manter alunos voluntários sem bolsas ou benefícios vinculados, destacando a necessidade de definir o papel da prefeitura e encontrar pessoas com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expertise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, especialmente em captação de recursos, para uma estrutura mais organizada.</w:t>
      </w:r>
    </w:p>
    <w:p w:rsidR="00000000" w:rsidDel="00000000" w:rsidP="00000000" w:rsidRDefault="00000000" w:rsidRPr="00000000" w14:paraId="00000021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Bruno Bom alinhou-se com Iomar, sugerindo que o uso de estudantes seja apenas para apoio inicial e que o ELI busque recursos para contratar um profissional dedicado (como um cargo comissionado ou CLT), semelhante ao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ES em Ação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, para garantir as entregas.</w:t>
      </w:r>
    </w:p>
    <w:p w:rsidR="00000000" w:rsidDel="00000000" w:rsidP="00000000" w:rsidRDefault="00000000" w:rsidRPr="00000000" w14:paraId="00000022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apresentou cinco objetivos estratégicos, incluindo: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garantir governança colaborativa com metas de adesão e presença em reuniões;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execução disciplinada dos planos com 60% de conclusão mínima;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geração de demanda e oportunidades, como a mobilização de 1000 participantes em eventos;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fomento a 20 startups em 12 meses; 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captação de R$ 1.500.000 em recursos.</w:t>
      </w:r>
    </w:p>
    <w:p w:rsidR="00000000" w:rsidDel="00000000" w:rsidP="00000000" w:rsidRDefault="00000000" w:rsidRPr="00000000" w14:paraId="00000028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Alexandre expressou preocupação de que algumas metas, como a de captação de R$ 1.500.000, são muito altas para a capacidade atual do grupo, que é pequeno, e solicitou flexibilização para garantir a viabilidade e o sucesso do projeto. </w:t>
      </w:r>
    </w:p>
    <w:p w:rsidR="00000000" w:rsidDel="00000000" w:rsidP="00000000" w:rsidRDefault="00000000" w:rsidRPr="00000000" w14:paraId="00000029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concordou com a necessidade de calibrar as metas em uma reunião específica, ressaltando a importância de mensurar os resultados, mesmo que com valores menores, para garantir a gestão.</w:t>
      </w:r>
    </w:p>
    <w:p w:rsidR="00000000" w:rsidDel="00000000" w:rsidP="00000000" w:rsidRDefault="00000000" w:rsidRPr="00000000" w14:paraId="0000002A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Ellen levantou uma questão sobre a meta de 40 submissões de projetos, perguntando se seriam submissões individuais das instituições (como a FAESA ou o IFS) ou submissões conjuntas. Rodrigo Teixeira esclareceu que a meta se refere à soma de submissões individuais, mas focadas em projetos de inovação destinados especificamente a Cariacica, para medir quanto o município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está mobilizando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 em recursos. </w:t>
      </w:r>
    </w:p>
    <w:p w:rsidR="00000000" w:rsidDel="00000000" w:rsidP="00000000" w:rsidRDefault="00000000" w:rsidRPr="00000000" w14:paraId="0000002B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Ellen e Bruno sugeriram que, em vez de somar ações isoladas, o ELI priorize a execução de projetos conjuntos e ambiciosos, como um edital da FAPS, para fortalecer o ecossistema e demonstrar união, o que facilitaria a captação de recursos em instâncias maiores, como o MCI.</w:t>
      </w:r>
    </w:p>
    <w:p w:rsidR="00000000" w:rsidDel="00000000" w:rsidP="00000000" w:rsidRDefault="00000000" w:rsidRPr="00000000" w14:paraId="0000002C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Iomar endossou a ideia de realizar uma ação demonstrativa conjunta, expondo os indicadores para o MCI, o que poderia garantir o apoio a um projeto maior, citando o sucesso obtido em Colatina. </w:t>
      </w:r>
    </w:p>
    <w:p w:rsidR="00000000" w:rsidDel="00000000" w:rsidP="00000000" w:rsidRDefault="00000000" w:rsidRPr="00000000" w14:paraId="0000002D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Bruno propôs realizar um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Hackathon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 chamado "Conexão LAB", envolvendo estudantes, o FINDESLAB, o SICOOB e empresários de Cariacica, para desenvolver soluções para problemas locais e que as melhores ideias fossem seguidas pela incubadora do IFES, garantindo a continuidade dos projetos.</w:t>
      </w:r>
    </w:p>
    <w:p w:rsidR="00000000" w:rsidDel="00000000" w:rsidP="00000000" w:rsidRDefault="00000000" w:rsidRPr="00000000" w14:paraId="0000002E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Erivelto e Ellen apoiaram a ideia do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Hackathon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 como um "grande ensaio" para testar a colaboração e gerar projetos que não morram após o evento, podendo ser levados ao MCI com dados concretos.</w:t>
      </w:r>
    </w:p>
    <w:p w:rsidR="00000000" w:rsidDel="00000000" w:rsidP="00000000" w:rsidRDefault="00000000" w:rsidRPr="00000000" w14:paraId="0000002F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destacou que o plano de ação já prevê o desenvolvimento de programas setoriais de inovação e que os próximos passos cruciais são: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 escolha do PMO e dos Guardiões, e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 realização de uma oficina de planejamento para detalhar esses projetos, como a ação proposta pela Ellen Scopel Cometti e o Bruno Bom.</w:t>
      </w:r>
    </w:p>
    <w:p w:rsidR="00000000" w:rsidDel="00000000" w:rsidP="00000000" w:rsidRDefault="00000000" w:rsidRPr="00000000" w14:paraId="00000032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 meta de captação de recursos poderá ser ajustada para focar em metas coletivas, como a submissão de dois projetos conjuntos com um volume específico de recursos.</w:t>
      </w:r>
    </w:p>
    <w:p w:rsidR="00000000" w:rsidDel="00000000" w:rsidP="00000000" w:rsidRDefault="00000000" w:rsidRPr="00000000" w14:paraId="00000033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Alexandre Alves Valente expressou que a prefeitura está aberta para viabilizar a proposta, reconhecendo as limitações do sistema atual em termos de participação de pessoal e mobilização, bem como a restrição de recursos. Ele enfatizou o desejo de uma proposta adaptada que fosse "bem menor" e executável, mas que abrangesse as ideias levantadas por Iomar, Elen, Erivelto e Bruno.</w:t>
      </w:r>
    </w:p>
    <w:p w:rsidR="00000000" w:rsidDel="00000000" w:rsidP="00000000" w:rsidRDefault="00000000" w:rsidRPr="00000000" w14:paraId="00000034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esclareceu que cabe à prefeitura montar essa adaptação do framework, destacando que a "dosagem da meta" depende da ambição que eles colocarem, especialmente a meta de captação e a meta de programas setoriais de inovação. Ele se colocou à disposição para auxiliar e verificar se a adaptação está dentro da realidade, mas reiterou que a definição da dosagem dos OKRs e a estrutura de governança (conselho) são responsabilidades da prefeitura.</w:t>
      </w:r>
    </w:p>
    <w:p w:rsidR="00000000" w:rsidDel="00000000" w:rsidP="00000000" w:rsidRDefault="00000000" w:rsidRPr="00000000" w14:paraId="00000035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destacou que a proposta é factível e viável, enfatizando que é essencial que a estratégia tenha "donos" para criar uma cadência de revisão e análise. Ele explicou que essa abordagem deve envolver tomadores de decisão, e os resultados gerados visam criar confiança para este grupo, incentivando a inclusão de outros atores estratégicos, como a "Águia Branca".</w:t>
      </w:r>
    </w:p>
    <w:p w:rsidR="00000000" w:rsidDel="00000000" w:rsidP="00000000" w:rsidRDefault="00000000" w:rsidRPr="00000000" w14:paraId="00000036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Ele sugeriu ainda que, após definir os OKRs, os guardiões e o plano, se faça um "road show" para convidar outras pessoas, mostrando os resultados para gerar engajamento no processo.</w:t>
      </w:r>
    </w:p>
    <w:p w:rsidR="00000000" w:rsidDel="00000000" w:rsidP="00000000" w:rsidRDefault="00000000" w:rsidRPr="00000000" w14:paraId="00000037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reiterou que o foco agora é a prefeitura definir os OKRs e o processo de governança. Alexandre Alves Valente reconheceu os próximos passos, e a reunião foi encerrada com agradecimentos entre Alexandre Alves Valente, Rodrigo Teixeira, Bruno Bom, e Ellen Scopel Cometti.</w:t>
      </w:r>
    </w:p>
    <w:p w:rsidR="00000000" w:rsidDel="00000000" w:rsidP="00000000" w:rsidRDefault="00000000" w:rsidRPr="00000000" w14:paraId="00000038">
      <w:pPr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color w:val="30303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Outros Assuntos: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00" w:before="200" w:line="240" w:lineRule="auto"/>
        <w:jc w:val="both"/>
        <w:rPr>
          <w:color w:val="30303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oportunidade, 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Rodrigo Teixeira reafirmou a importância de o Conselho Estratégico incluir tomadores de decisão para garantir o comprometimento institucional, o que ajudaria a evoluir o ELI para uma agenda institucional em vez de focar apenas em pessoas físicas.</w:t>
      </w:r>
    </w:p>
    <w:p w:rsidR="00000000" w:rsidDel="00000000" w:rsidP="00000000" w:rsidRDefault="00000000" w:rsidRPr="00000000" w14:paraId="0000003B">
      <w:pPr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Elen Scopel Cometti sugeriu alocar estagiários da prefeitura, que poderiam ser alunos das instituições parceiras (IFS, FAESA, SENAC), para se dedicarem às ações do ELI, como uma solução temporária para a dificuldade com o voluntariado.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20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color w:val="303030"/>
          <w:sz w:val="24"/>
          <w:szCs w:val="24"/>
          <w:rtl w:val="0"/>
        </w:rPr>
        <w:t xml:space="preserve">Bruno Bom propôs realizar um </w:t>
      </w:r>
      <w:r w:rsidDel="00000000" w:rsidR="00000000" w:rsidRPr="00000000">
        <w:rPr>
          <w:i w:val="1"/>
          <w:iCs w:val="1"/>
          <w:color w:val="303030"/>
          <w:sz w:val="24"/>
          <w:szCs w:val="24"/>
          <w:rtl w:val="0"/>
        </w:rPr>
        <w:t xml:space="preserve">Hackathon</w:t>
      </w:r>
      <w:r w:rsidDel="00000000" w:rsidR="00000000" w:rsidRPr="00000000">
        <w:rPr>
          <w:color w:val="303030"/>
          <w:sz w:val="24"/>
          <w:szCs w:val="24"/>
          <w:rtl w:val="0"/>
        </w:rPr>
        <w:t xml:space="preserve"> chamado "Conexão LAB", envolvendo estudantes, o FINDESLAB, o SICOOB e empresários de Cariacica, para desenvolver soluções para problemas locais e que as melhores ideias fossem seguidas pela incubadora do IFES, garantindo a continuidade dos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00" w:before="200" w:line="240" w:lineRule="auto"/>
        <w:ind w:lef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17 de julho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19056</wp:posOffset>
          </wp:positionH>
          <wp:positionV relativeFrom="paragraph">
            <wp:posOffset>19056</wp:posOffset>
          </wp:positionV>
          <wp:extent cx="660797" cy="642938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42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nF7vnFvZxlSUF4zXiV8zKS0Bg==">CgMxLjA4AHIhMUlaTmkyYjRmVHJPOUtCZ08xTTJCYXVVakRqOEpqbTBS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